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8"/>
          <w:szCs w:val="28"/>
        </w:rPr>
        <w:t>2.</w:t>
      </w:r>
      <w:r>
        <w:rPr>
          <w:b/>
          <w:rFonts w:ascii="Arial" w:hAnsi="Arial"/>
          <w:sz w:val="28"/>
          <w:szCs w:val="28"/>
        </w:rPr>
        <w:t>2</w:t>
      </w:r>
      <w:r>
        <w:rPr>
          <w:b/>
          <w:rFonts w:ascii="Arial" w:hAnsi="Arial"/>
          <w:sz w:val="28"/>
          <w:szCs w:val="28"/>
        </w:rPr>
        <w:t xml:space="preserve"> </w:t>
      </w:r>
      <w:r>
        <w:rPr>
          <w:b/>
          <w:rFonts w:ascii="Arial" w:hAnsi="Arial"/>
          <w:sz w:val="28"/>
          <w:szCs w:val="28"/>
        </w:rPr>
        <w:t>Student placements</w:t>
      </w: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 xml:space="preserve">Policy </w:t>
      </w:r>
      <w:r>
        <w:rPr>
          <w:b/>
          <w:rFonts w:ascii="Arial" w:hAnsi="Arial"/>
          <w:sz w:val="22"/>
          <w:szCs w:val="22"/>
        </w:rPr>
        <w:t>s</w:t>
      </w:r>
      <w:r>
        <w:rPr>
          <w:b/>
          <w:rFonts w:ascii="Arial" w:hAnsi="Arial"/>
          <w:sz w:val="22"/>
          <w:szCs w:val="22"/>
        </w:rPr>
        <w:t>tatement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rFonts w:ascii="Arial" w:hAnsi="Arial"/>
          <w:sz w:val="22"/>
          <w:szCs w:val="22"/>
        </w:rPr>
        <w:t>Sheering Village Pre-School</w:t>
      </w:r>
      <w:r>
        <w:rPr>
          <w:rFonts w:ascii="Arial" w:hAnsi="Arial"/>
          <w:sz w:val="22"/>
          <w:szCs w:val="22"/>
        </w:rPr>
        <w:t xml:space="preserve"> recognise that qualifications and training make an important contribution to the quality of the care and education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provide. As part of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commitment to quality,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offer placements to students undertaking early years qualifications and training.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also offer placements for school pupils on work experience.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aim to provide for students on placement with </w:t>
      </w:r>
      <w:r>
        <w:rPr>
          <w:rFonts w:ascii="Arial" w:hAnsi="Arial"/>
          <w:sz w:val="22"/>
          <w:szCs w:val="22"/>
        </w:rPr>
        <w:t>us</w:t>
      </w:r>
      <w:r>
        <w:rPr>
          <w:rFonts w:ascii="Arial" w:hAnsi="Arial"/>
          <w:sz w:val="22"/>
          <w:szCs w:val="22"/>
        </w:rPr>
        <w:t>, experiences that contribute to the successful completion of their studies and that provide examples of quality practice in early years care and education.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Procedures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require students on qualification courses to meet the</w:t>
      </w:r>
      <w:r>
        <w:rPr>
          <w:rFonts w:ascii="Arial" w:hAnsi="Arial"/>
          <w:sz w:val="22"/>
          <w:szCs w:val="22"/>
        </w:rPr>
        <w:t xml:space="preserve"> Suitable Person </w:t>
      </w:r>
      <w:r>
        <w:rPr>
          <w:rFonts w:ascii="Arial" w:hAnsi="Arial"/>
          <w:sz w:val="22"/>
          <w:szCs w:val="22"/>
        </w:rPr>
        <w:t xml:space="preserve">requirements of </w:t>
      </w:r>
      <w:r>
        <w:rPr>
          <w:rFonts w:ascii="Arial" w:hAnsi="Arial"/>
          <w:sz w:val="22"/>
          <w:szCs w:val="22"/>
        </w:rPr>
        <w:t xml:space="preserve">the Early Years Foundation Stage </w:t>
      </w:r>
      <w:r>
        <w:rPr>
          <w:rFonts w:ascii="Arial" w:hAnsi="Arial"/>
          <w:sz w:val="22"/>
          <w:szCs w:val="22"/>
        </w:rPr>
        <w:t>and have</w:t>
      </w:r>
      <w:r>
        <w:rPr>
          <w:rFonts w:ascii="Arial" w:hAnsi="Arial"/>
          <w:sz w:val="22"/>
          <w:szCs w:val="22"/>
        </w:rPr>
        <w:t xml:space="preserve"> a satisfactory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enhanced </w:t>
      </w:r>
      <w:r>
        <w:rPr>
          <w:rFonts w:ascii="Arial" w:hAnsi="Arial"/>
          <w:sz w:val="22"/>
          <w:szCs w:val="22"/>
        </w:rPr>
        <w:t xml:space="preserve">DBS </w:t>
      </w:r>
      <w:r>
        <w:rPr>
          <w:rFonts w:ascii="Arial" w:hAnsi="Arial"/>
          <w:sz w:val="22"/>
          <w:szCs w:val="22"/>
        </w:rPr>
        <w:t>check</w:t>
      </w:r>
      <w:r>
        <w:rPr>
          <w:rFonts w:ascii="Arial" w:hAnsi="Arial"/>
          <w:sz w:val="22"/>
          <w:szCs w:val="22"/>
        </w:rPr>
        <w:t xml:space="preserve"> with barred list check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require students in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setting to have a sufficient understanding and use of English to contribute to the well-being of children in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care.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require schools</w:t>
      </w:r>
      <w:r>
        <w:rPr>
          <w:rFonts w:ascii="Arial" w:hAnsi="Arial"/>
          <w:sz w:val="22"/>
          <w:szCs w:val="22"/>
        </w:rPr>
        <w:t>, colleges or universities</w:t>
      </w:r>
      <w:r>
        <w:rPr>
          <w:rFonts w:ascii="Arial" w:hAnsi="Arial"/>
          <w:sz w:val="22"/>
          <w:szCs w:val="22"/>
        </w:rPr>
        <w:t xml:space="preserve"> placing students under the age of 17 years with </w:t>
      </w:r>
      <w:r>
        <w:rPr>
          <w:rFonts w:ascii="Arial" w:hAnsi="Arial"/>
          <w:sz w:val="22"/>
          <w:szCs w:val="22"/>
        </w:rPr>
        <w:t>us</w:t>
      </w:r>
      <w:r>
        <w:rPr>
          <w:rFonts w:ascii="Arial" w:hAnsi="Arial"/>
          <w:sz w:val="22"/>
          <w:szCs w:val="22"/>
        </w:rPr>
        <w:t xml:space="preserve"> to vouch for their good character.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supervise students under the age of 17 years at all times and do not allow them to have unsupervised access to children.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Students undertaking qualification courses who are placed in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setting on a short term basis are not counted in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staffing ratios.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Students and apprentices, over the age of 17, who are undertaking a level 3 qualification may be considered to</w:t>
      </w:r>
      <w:r>
        <w:rPr>
          <w:rFonts w:ascii="Arial" w:hAnsi="Arial"/>
          <w:sz w:val="22"/>
          <w:szCs w:val="22"/>
        </w:rPr>
        <w:t xml:space="preserve"> be counted in the ratios if our manager</w:t>
      </w:r>
      <w:r>
        <w:rPr>
          <w:rFonts w:ascii="Arial" w:hAnsi="Arial"/>
          <w:sz w:val="22"/>
          <w:szCs w:val="22"/>
        </w:rPr>
        <w:t xml:space="preserve"> deems them to be suitably qualified and experienced.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take out employers' liability insurance and public liability insurance, which covers both </w:t>
      </w:r>
      <w:r>
        <w:rPr>
          <w:rFonts w:ascii="Arial" w:hAnsi="Arial"/>
          <w:sz w:val="22"/>
          <w:szCs w:val="22"/>
        </w:rPr>
        <w:t xml:space="preserve">students </w:t>
      </w:r>
      <w:r>
        <w:rPr>
          <w:rFonts w:ascii="Arial" w:hAnsi="Arial"/>
          <w:sz w:val="22"/>
          <w:szCs w:val="22"/>
        </w:rPr>
        <w:t>and voluntary helpers.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require students to keep to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Confidentiality and Client Access to Records Policy.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co-operate with students' tutors in order to help students to fulfil the requirements of their course of study.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provide students, at the first session of their placement, with a short induction on how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setting is managed, how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sessions are organised and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policies and procedures.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communicate a positive message to students about the value of qualifications and training.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make the needs of the children paramount by not admitting students in numbers that hinder the essential work of the setting.</w:t>
      </w:r>
    </w:p>
    <w:p>
      <w:pPr>
        <w:pStyle w:val="Normal"/>
        <w:numPr>
          <w:ilvl w:val="0"/>
          <w:numId w:val="1323851250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ensure that trainees and students placed with us are engaged in bona fide early years training, which provides the necessary background understanding of children's development and activities.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tbl>
      <w:tblPr>
        <w:tblBorders>
          <w:top w:val="nil" w:sz="2" w:color="000000" w:space="0"/>
          <w:bottom w:val="single" w:sz="4" w:color="C0504D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Style w:val="TableNormal"/>
        <w:tblLook w:val="4A0"/>
        <w:tblW w:w="5000" w:type="pct"/>
      </w:tblPr>
      <w:tblGrid>
        <w:gridCol w:w="5583"/>
        <w:gridCol w:w="3478"/>
        <w:gridCol w:w="2261"/>
      </w:tblGrid>
      <w:tr>
        <w:tc>
          <w:tcPr>
            <w:vAlign w:val="top"/>
            <w:tcW w:w="5352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/>
                <w:sz w:val="22"/>
                <w:szCs w:val="22"/>
              </w:rPr>
              <w:t>by</w:t>
            </w:r>
          </w:p>
        </w:tc>
        <w:tc>
          <w:tcPr>
            <w:tcBorders>
              <w:bottom w:val="single" w:sz="4" w:color="FF00FF" w:space="0"/>
            </w:tcBorders>
            <w:vAlign w:val="top"/>
            <w:tcW w:w="3334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Sheering Village Pre-School</w:t>
            </w:r>
          </w:p>
        </w:tc>
        <w:tc>
          <w:tcPr>
            <w:vAlign w:val="top"/>
            <w:tcW w:w="2167" w:type="dxa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</w:t>
            </w:r>
            <w:r>
              <w:rPr>
                <w:i/>
                <w:rFonts w:ascii="Arial" w:hAnsi="Arial"/>
                <w:sz w:val="22"/>
                <w:szCs w:val="22"/>
              </w:rPr>
              <w:t xml:space="preserve">name of </w:t>
            </w:r>
            <w:r>
              <w:rPr>
                <w:i/>
                <w:rFonts w:ascii="Arial" w:hAnsi="Arial"/>
                <w:sz w:val="22"/>
                <w:szCs w:val="22"/>
              </w:rPr>
              <w:t>provider</w:t>
            </w:r>
            <w:r>
              <w:rPr>
                <w:i/>
                <w:rFonts w:ascii="Arial" w:hAnsi="Arial"/>
                <w:sz w:val="22"/>
                <w:szCs w:val="22"/>
              </w:rPr>
              <w:t>)</w:t>
            </w:r>
          </w:p>
        </w:tc>
      </w:tr>
      <w:tr>
        <w:tc>
          <w:tcPr>
            <w:vAlign w:val="top"/>
            <w:tcW w:w="5352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3334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01st October 2019</w:t>
            </w:r>
          </w:p>
        </w:tc>
        <w:tc>
          <w:tcPr>
            <w:vAlign w:val="top"/>
            <w:tcW w:w="2167" w:type="dxa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5352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Date to be reviewed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3334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October 2020</w:t>
            </w:r>
          </w:p>
        </w:tc>
        <w:tc>
          <w:tcPr>
            <w:tcBorders>
              <w:bottom w:val="nil" w:sz="0" w:color="auto" w:space="0"/>
            </w:tcBorders>
            <w:vAlign w:val="top"/>
            <w:tcW w:w="2167" w:type="dxa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5352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/>
                <w:sz w:val="22"/>
                <w:szCs w:val="22"/>
              </w:rPr>
              <w:t>provider</w:t>
            </w:r>
          </w:p>
        </w:tc>
        <w:tc>
          <w:tcPr>
            <w:gridSpan w:val="2"/>
            <w:tcBorders>
              <w:bottom w:val="single" w:sz="4" w:color="FF00FF" w:space="0"/>
            </w:tcBorders>
            <w:vAlign w:val="top"/>
            <w:tcW w:w="3334" w:type="dxa"/>
          </w:tcPr>
          <w:p>
            <w:pPr>
              <w:pStyle w:val="Normal"/>
              <w:spacing w:line="360" w:lineRule="auto"/>
            </w:pPr>
          </w:p>
        </w:tc>
      </w:tr>
      <w:tr>
        <w:tc>
          <w:tcPr>
            <w:tcBorders>
              <w:bottom w:val="nil" w:sz="0" w:color="auto" w:space="0"/>
            </w:tcBorders>
            <w:vAlign w:val="top"/>
            <w:tcW w:w="5352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signatory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</w:tcBorders>
            <w:vAlign w:val="top"/>
            <w:tcW w:w="3334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Angie Rivoire</w:t>
            </w:r>
          </w:p>
        </w:tc>
      </w:tr>
      <w:tr>
        <w:tc>
          <w:tcPr>
            <w:tcBorders>
              <w:bottom w:val="nil" w:sz="0" w:color="auto" w:space="0"/>
            </w:tcBorders>
            <w:vAlign w:val="top"/>
            <w:tcW w:w="5352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signatory (e.g. chair</w:t>
            </w:r>
            <w:r>
              <w:rPr>
                <w:rFonts w:ascii="Arial" w:hAnsi="Arial"/>
                <w:sz w:val="22"/>
                <w:szCs w:val="22"/>
              </w:rPr>
              <w:t>, director or owner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</w:tcBorders>
            <w:vAlign w:val="top"/>
            <w:tcW w:w="3334" w:type="dxa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Manager, Director</w:t>
            </w:r>
          </w:p>
        </w:tc>
      </w:tr>
    </w:tbl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sectPr>
      <w:headerReference r:id="rId8" w:type="first"/>
      <w:pgSz w:w="12240" w:h="15840"/>
      <w:pgMar w:left="567" w:right="567" w:top="567" w:bottom="567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Wingdings"/>
  <w:font w:name="Courier New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</w:pPr>
    <w:r>
      <w:rPr>
        <w:b/>
        <w:rFonts w:ascii="Arial" w:hAnsi="Arial"/>
        <w:sz w:val="22"/>
        <w:szCs w:val="22"/>
      </w:rPr>
      <w:t>Safeguarding and Welfare Requirement: Suitable People</w:t>
    </w:r>
  </w:p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</w:pPr>
    <w:r>
      <w:rPr>
        <w:rFonts w:ascii="Arial" w:hAnsi="Arial"/>
        <w:sz w:val="22"/>
        <w:szCs w:val="22"/>
      </w:rPr>
      <w:t>Providers must ensure that adults looking after children are suitable to fulfil the requirements of their roles.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381210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805968772">
    <w:multiLevelType w:val="hybridMultilevel"/>
    <w:lvl w:ilvl="0">
      <w:numFmt w:val="bullet"/>
      <w:lvlText w:val=""/>
      <w:start w:val="0"/>
      <w:lvlJc w:val="left"/>
      <w:pPr>
        <w:ind w:left="765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85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205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925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45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65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85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805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525"/>
        <w:ind w:hanging="360"/>
      </w:pPr>
      <w:rPr>
        <w:rFonts w:ascii="Wingdings" w:hAnsi="Wingdings"/>
      </w:rPr>
    </w:lvl>
  </w:abstractNum>
  <w:abstractNum w:abstractNumId="1079136822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148935480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323851250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208590612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513812106">
    <w:abstractNumId w:val="513812106"/>
  </w:num>
  <w:num w:numId="805968772">
    <w:abstractNumId w:val="805968772"/>
  </w:num>
  <w:num w:numId="1079136822">
    <w:abstractNumId w:val="1079136822"/>
  </w:num>
  <w:num w:numId="1148935480">
    <w:abstractNumId w:val="1148935480"/>
  </w:num>
  <w:num w:numId="1323851250">
    <w:abstractNumId w:val="1323851250"/>
  </w:num>
  <w:num w:numId="2085906126">
    <w:abstractNumId w:val="208590612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rFonts w:ascii="Times New Roman" w:hAnsi="Times New Roman"/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rFonts w:ascii="Times New Roman" w:hAnsi="Times New Roman"/>
      <w:sz w:val="24"/>
      <w:szCs w:val="24"/>
    </w:rPr>
  </w:style>
  <w:style w:type="paragraph" w:styleId="Revision">
    <w:name w:val="Revision"/>
    <w:qFormat/>
    <w:pPr/>
    <w:rPr>
      <w:rFonts w:ascii="Times New Roman" w:hAnsi="Times New Roman"/>
      <w:sz w:val="24"/>
      <w:szCs w:val="24"/>
    </w:rPr>
  </w:style>
  <w:style w:type="character" w:styleId="CommentReference">
    <w:name w:val="Comment Reference"/>
    <w:qFormat/>
    <w:rPr>
      <w:sz w:val="16"/>
      <w:szCs w:val="16"/>
    </w:rPr>
  </w:style>
  <w:style w:type="paragraph" w:styleId="CommentText">
    <w:name w:val="Comment Text"/>
    <w:qFormat/>
    <w:basedOn w:val="Normal"/>
    <w:pPr/>
    <w:rPr>
      <w:sz w:val="20"/>
      <w:szCs w:val="20"/>
    </w:rPr>
  </w:style>
  <w:style w:type="character" w:styleId="CommentTextChar">
    <w:name w:val="Comment Text Char"/>
    <w:qFormat/>
    <w:rPr>
      <w:rFonts w:ascii="Times New Roman" w:hAnsi="Times New Roman"/>
    </w:rPr>
  </w:style>
  <w:style w:type="paragraph" w:styleId="CommentSubject">
    <w:name w:val="Comment Subject"/>
    <w:qFormat/>
    <w:basedOn w:val="CommentText"/>
    <w:pPr/>
    <w:rPr>
      <w:b/>
    </w:rPr>
  </w:style>
  <w:style w:type="character" w:styleId="CommentSubjectChar">
    <w:name w:val="Comment Subject Char"/>
    <w:qFormat/>
    <w:rPr>
      <w:b/>
      <w:rFonts w:ascii="Times New Roman" w:hAnsi="Times New Roman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