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  <w:r>
        <w:rPr>
          <w:b/>
          <w:rFonts w:ascii="Arial" w:hAnsi="Arial"/>
          <w:sz w:val="28"/>
          <w:szCs w:val="28"/>
        </w:rPr>
        <w:t>6.</w:t>
      </w:r>
      <w:r>
        <w:rPr>
          <w:b/>
          <w:rFonts w:ascii="Arial" w:hAnsi="Arial"/>
          <w:sz w:val="28"/>
          <w:szCs w:val="28"/>
        </w:rPr>
        <w:t>6</w:t>
      </w:r>
      <w:r>
        <w:rPr>
          <w:b/>
          <w:rFonts w:ascii="Arial" w:hAnsi="Arial"/>
          <w:sz w:val="28"/>
          <w:szCs w:val="28"/>
        </w:rPr>
        <w:t xml:space="preserve"> </w:t>
      </w:r>
      <w:r>
        <w:rPr>
          <w:b/>
          <w:rFonts w:ascii="Arial" w:hAnsi="Arial"/>
          <w:sz w:val="28"/>
          <w:szCs w:val="28"/>
        </w:rPr>
        <w:t>Food hygiene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Sheering Village Pre-School</w:t>
      </w:r>
      <w:r>
        <w:rPr>
          <w:rFonts w:ascii="Arial" w:hAnsi="Arial"/>
          <w:sz w:val="22"/>
          <w:szCs w:val="22"/>
        </w:rPr>
        <w:t xml:space="preserve"> provide and/or serve food for children on the following basis:</w:t>
      </w:r>
    </w:p>
    <w:p>
      <w:pPr>
        <w:pStyle w:val="ListParagraph"/>
        <w:numPr>
          <w:ilvl w:val="0"/>
          <w:numId w:val="895245000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Snacks.</w:t>
      </w:r>
    </w:p>
    <w:p>
      <w:pPr>
        <w:pStyle w:val="ListParagraph"/>
        <w:numPr>
          <w:ilvl w:val="0"/>
          <w:numId w:val="89524500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Packed lunch</w:t>
      </w:r>
      <w:r>
        <w:rPr>
          <w:rFonts w:ascii="Arial" w:hAnsi="Arial"/>
          <w:sz w:val="22"/>
          <w:szCs w:val="22"/>
        </w:rPr>
        <w:t>es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ind w:left="360"/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maintain the highest possible food hygiene standards with regard to the purchase, storage, preparation and serving of food.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 registered as a food provider with the local authority Environmental Health Department.</w:t>
      </w:r>
      <w:r>
        <w:rPr>
          <w:i/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ind w:left="360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ListParagraph"/>
        <w:numPr>
          <w:ilvl w:val="0"/>
          <w:numId w:val="1264219073"/>
        </w:numPr>
        <w:ind w:left="357"/>
        <w:ind w:hanging="357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Our staff </w:t>
      </w:r>
      <w:r>
        <w:rPr>
          <w:rFonts w:ascii="Arial" w:hAnsi="Arial"/>
          <w:sz w:val="22"/>
          <w:szCs w:val="22"/>
        </w:rPr>
        <w:t>with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responsib</w:t>
      </w:r>
      <w:r>
        <w:rPr>
          <w:rFonts w:ascii="Arial" w:hAnsi="Arial"/>
          <w:sz w:val="22"/>
          <w:szCs w:val="22"/>
        </w:rPr>
        <w:t>ility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for food preparation understand the principles of Hazard Analysis and Critical Control Point (HACCP) as it applies to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</w:t>
      </w:r>
      <w:r>
        <w:rPr>
          <w:rFonts w:ascii="Arial" w:hAnsi="Arial"/>
          <w:sz w:val="22"/>
          <w:szCs w:val="22"/>
        </w:rPr>
        <w:t>. This is set out in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Safer Food, Better Business.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(Food Standards Agency 2011)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 basis for this is risk assessment of the purchase, storage, preparation and serving of food to prevent growth of bacteria and food contamination.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 xml:space="preserve">our </w:t>
      </w:r>
      <w:r>
        <w:rPr>
          <w:rFonts w:ascii="Arial" w:hAnsi="Arial"/>
          <w:sz w:val="22"/>
          <w:szCs w:val="22"/>
        </w:rPr>
        <w:t>staff follow the guidelines of Safer Food, Better Business.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 xml:space="preserve">our </w:t>
      </w:r>
      <w:r>
        <w:rPr>
          <w:rFonts w:ascii="Arial" w:hAnsi="Arial"/>
          <w:sz w:val="22"/>
          <w:szCs w:val="22"/>
        </w:rPr>
        <w:t xml:space="preserve">staff </w:t>
      </w:r>
      <w:r>
        <w:rPr>
          <w:rFonts w:ascii="Arial" w:hAnsi="Arial"/>
          <w:sz w:val="22"/>
          <w:szCs w:val="22"/>
        </w:rPr>
        <w:t xml:space="preserve">who are </w:t>
      </w:r>
      <w:r>
        <w:rPr>
          <w:rFonts w:ascii="Arial" w:hAnsi="Arial"/>
          <w:sz w:val="22"/>
          <w:szCs w:val="22"/>
        </w:rPr>
        <w:t>involved in the preparation and handling of food have received training in food hygiene.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The person responsible for food preparation and serving carries out daily opening and closing checks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 the kitchen to ensure standards are met consistently. (See Safer Food, Better Business)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use reliable suppliers for the food we purchase.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Food is stored at correct temperatures and is checked to ensure it is in-date and not subject 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contamination by pests, rodents or mould.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Packed lu</w:t>
      </w:r>
      <w:r>
        <w:rPr>
          <w:rFonts w:ascii="Arial" w:hAnsi="Arial"/>
          <w:sz w:val="22"/>
          <w:szCs w:val="22"/>
        </w:rPr>
        <w:t>nches are stored in the refrigerator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Food preparation areas are cleaned before </w:t>
      </w:r>
      <w:r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after use.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There are separate facilities for hand-washing and for </w:t>
      </w:r>
      <w:r>
        <w:rPr>
          <w:rFonts w:ascii="Arial" w:hAnsi="Arial"/>
          <w:sz w:val="22"/>
          <w:szCs w:val="22"/>
        </w:rPr>
        <w:t>washing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up.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All surfaces are clean and non-porous.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All utensils, crockery etc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are clean and stored appropriately.</w:t>
      </w:r>
    </w:p>
    <w:p>
      <w:pPr>
        <w:pStyle w:val="ListParagraph"/>
        <w:numPr>
          <w:ilvl w:val="0"/>
          <w:numId w:val="169934964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Waste food is disposed of daily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Cleaning materials and other dangerous materials are stored out of children's reach.</w:t>
      </w: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Children do not have unsupervised access to the kitchen.</w:t>
      </w: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When children take part in cooking activities, they:</w:t>
      </w:r>
    </w:p>
    <w:p>
      <w:pPr>
        <w:pStyle w:val="ListParagraph"/>
        <w:numPr>
          <w:ilvl w:val="0"/>
          <w:numId w:val="1606576783"/>
        </w:numPr>
        <w:ind w:left="714"/>
        <w:ind w:hanging="357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are supervised at all times;</w:t>
      </w:r>
    </w:p>
    <w:p>
      <w:pPr>
        <w:pStyle w:val="ListParagraph"/>
        <w:numPr>
          <w:ilvl w:val="0"/>
          <w:numId w:val="1606576783"/>
        </w:numPr>
        <w:ind w:left="714"/>
        <w:ind w:hanging="357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understand the importance of </w:t>
      </w:r>
      <w:r>
        <w:rPr>
          <w:rFonts w:ascii="Arial" w:hAnsi="Arial"/>
          <w:sz w:val="22"/>
          <w:szCs w:val="22"/>
        </w:rPr>
        <w:t>hand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washing and simple hygiene rules;</w:t>
      </w:r>
    </w:p>
    <w:p>
      <w:pPr>
        <w:pStyle w:val="ListParagraph"/>
        <w:numPr>
          <w:ilvl w:val="0"/>
          <w:numId w:val="1606576783"/>
        </w:numPr>
        <w:ind w:left="714"/>
        <w:ind w:hanging="357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are kept away from hot surfaces and hot water; and</w:t>
      </w:r>
    </w:p>
    <w:p>
      <w:pPr>
        <w:pStyle w:val="ListParagraph"/>
        <w:numPr>
          <w:ilvl w:val="0"/>
          <w:numId w:val="1606576783"/>
        </w:numPr>
        <w:ind w:left="714"/>
        <w:ind w:hanging="357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do not have unsupervised access to electrical equipment, such as blenders etc.</w:t>
      </w:r>
    </w:p>
    <w:p>
      <w:pP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ListParagraph"/>
        <w:ind w:left="0"/>
        <w:contextualSpacing w:val="0"/>
        <w:spacing w:line="360" w:lineRule="auto"/>
      </w:pPr>
      <w:r>
        <w:rPr>
          <w:i/>
          <w:rFonts w:ascii="Arial" w:hAnsi="Arial"/>
          <w:sz w:val="22"/>
          <w:szCs w:val="22"/>
        </w:rPr>
        <w:t>Reporting of food poisoning</w:t>
      </w:r>
    </w:p>
    <w:p>
      <w:pPr>
        <w:pStyle w:val="ListParagraph"/>
        <w:ind w:left="0"/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Food poisoning can occur for a number of reasons; not all cases of sickness or diarrhoea are as 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result of food poisoning and not all cases of sickness or diarrhoea are reportable.</w:t>
      </w: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Where children and/or adults have been diagnosed by a GP or hospital doctor to be suffering from food poisoning and where it seems possible that the source of the outbreak is within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setting, the manager will contact the Environmental Health Department to report the outbreak and will comply with any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investigation.</w:t>
      </w: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notify Ofsted as soon as reasonably practicable of a</w:t>
      </w:r>
      <w:r>
        <w:rPr>
          <w:rFonts w:ascii="Arial" w:hAnsi="Arial"/>
          <w:sz w:val="22"/>
          <w:szCs w:val="22"/>
        </w:rPr>
        <w:t>ny confirmed cases of food poisoning affecting two or more children looked after on the premises, and always within 14 days of the incident.</w:t>
      </w:r>
    </w:p>
    <w:p>
      <w:pP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ListParagraph"/>
        <w:ind w:left="0"/>
        <w:contextualSpacing w:val="0"/>
        <w:spacing w:line="360" w:lineRule="auto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>Legal framework</w:t>
      </w:r>
    </w:p>
    <w:p>
      <w:pPr>
        <w:pStyle w:val="ListParagraph"/>
        <w:ind w:left="0"/>
        <w:contextualSpacing w:val="0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Regulation (EC) 852/2004 of the European Parliament and of the Council on the Hygiene of Foodstuffs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Further guidance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ListParagraph"/>
        <w:numPr>
          <w:ilvl w:val="0"/>
          <w:numId w:val="1670596436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Safer Food Better Business (Food Standards Agency</w:t>
      </w:r>
      <w:r>
        <w:rPr>
          <w:rFonts w:ascii="Arial" w:hAnsi="Arial"/>
          <w:sz w:val="22"/>
          <w:szCs w:val="22"/>
        </w:rPr>
        <w:t xml:space="preserve"> 2011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br/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057"/>
        <w:gridCol w:w="3829"/>
        <w:gridCol w:w="2103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setting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01st Oct</w:t>
            </w:r>
            <w:r>
              <w:rPr>
                <w:rFonts w:ascii="Arial" w:hAnsi="Arial"/>
              </w:rPr>
              <w:t>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chair/owner)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</w:p>
    <w:sectPr>
      <w:headerReference r:id="rId8" w:type="first"/>
      <w:pgSz w:w="11907" w:h="16839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ourier New"/>
  <w:font w:name="Wingdings"/>
  <w:font w:name="Arial-BoldMT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  <w:r>
      <w:rPr>
        <w:b/>
        <w:rFonts w:ascii="Arial" w:hAnsi="Arial"/>
        <w:sz w:val="22"/>
        <w:szCs w:val="22"/>
      </w:rPr>
      <w:t>Safeguarding and Welfare Requirement: Health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rFonts w:ascii="Arial" w:hAnsi="Arial"/>
        <w:sz w:val="22"/>
        <w:szCs w:val="22"/>
      </w:rPr>
      <w:t>Where children are provided with meals, snacks and drinks, they must be healthy, balanced and nutritious.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240870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</w:abstractNum>
  <w:abstractNum w:abstractNumId="348719907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366179147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</w:abstractNum>
  <w:abstractNum w:abstractNumId="484012583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51596967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E36C0A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552010011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</w:abstractNum>
  <w:abstractNum w:abstractNumId="703291195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731780191">
    <w:multiLevelType w:val="hybridMultilevel"/>
    <w:lvl w:ilvl="0">
      <w:numFmt w:val="bullet"/>
      <w:lvlText w:val=""/>
      <w:start w:val="0"/>
      <w:lvlJc w:val="left"/>
      <w:pPr>
        <w:ind w:left="720"/>
        <w:ind w:hanging="360"/>
      </w:pPr>
      <w:rPr>
        <w:color w:val="9BBB59"/>
        <w:rFonts w:ascii="Wingdings" w:hAnsi="Wingdings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745108953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74915436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895245000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92526309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00427966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5868702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000000"/>
        <w:rFonts w:ascii="Arial-BoldMT" w:hAnsi="Arial-BoldMT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118181596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264219073">
    <w:multiLevelType w:val="hybridMultilevel"/>
    <w:lvl w:ilvl="0">
      <w:numFmt w:val="bullet"/>
      <w:lvlText w:val=""/>
      <w:start w:val="0"/>
      <w:lvlJc w:val="left"/>
      <w:pPr>
        <w:ind w:left="72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1299918620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31795586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33217404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406295407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481769451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9BBB59"/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578057183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9BBB59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579513948">
    <w:multiLevelType w:val="single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</w:abstractNum>
  <w:abstractNum w:abstractNumId="1595287844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9BBB59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606576783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7059643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69934964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b/>
        <w:color w:val="7030A0"/>
        <w:rFonts w:ascii="Arial-BoldMT" w:hAnsi="Arial-BoldMT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1720546829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72185459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839347168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E36C0A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88147400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E36C0A"/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920483879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988244343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994218097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2118479233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21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2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6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8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0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3240870">
    <w:abstractNumId w:val="33240870"/>
  </w:num>
  <w:num w:numId="348719907">
    <w:abstractNumId w:val="348719907"/>
  </w:num>
  <w:num w:numId="366179147">
    <w:abstractNumId w:val="366179147"/>
  </w:num>
  <w:num w:numId="484012583">
    <w:abstractNumId w:val="484012583"/>
  </w:num>
  <w:num w:numId="515969675">
    <w:abstractNumId w:val="515969675"/>
  </w:num>
  <w:num w:numId="552010011">
    <w:abstractNumId w:val="552010011"/>
  </w:num>
  <w:num w:numId="703291195">
    <w:abstractNumId w:val="703291195"/>
  </w:num>
  <w:num w:numId="731780191">
    <w:abstractNumId w:val="731780191"/>
  </w:num>
  <w:num w:numId="745108953">
    <w:abstractNumId w:val="745108953"/>
  </w:num>
  <w:num w:numId="749154362">
    <w:abstractNumId w:val="749154362"/>
  </w:num>
  <w:num w:numId="895245000">
    <w:abstractNumId w:val="895245000"/>
  </w:num>
  <w:num w:numId="925263090">
    <w:abstractNumId w:val="925263090"/>
  </w:num>
  <w:num w:numId="1004279668">
    <w:abstractNumId w:val="1004279668"/>
  </w:num>
  <w:num w:numId="1158687020">
    <w:abstractNumId w:val="1158687020"/>
  </w:num>
  <w:num w:numId="1181815966">
    <w:abstractNumId w:val="1181815966"/>
  </w:num>
  <w:num w:numId="1264219073">
    <w:abstractNumId w:val="1264219073"/>
  </w:num>
  <w:num w:numId="1299918620">
    <w:abstractNumId w:val="1299918620"/>
  </w:num>
  <w:num w:numId="1317955866">
    <w:abstractNumId w:val="1317955866"/>
  </w:num>
  <w:num w:numId="1332174048">
    <w:abstractNumId w:val="1332174048"/>
  </w:num>
  <w:num w:numId="1406295407">
    <w:abstractNumId w:val="1406295407"/>
  </w:num>
  <w:num w:numId="1481769451">
    <w:abstractNumId w:val="1481769451"/>
  </w:num>
  <w:num w:numId="1578057183">
    <w:abstractNumId w:val="1578057183"/>
  </w:num>
  <w:num w:numId="1579513948">
    <w:abstractNumId w:val="1579513948"/>
  </w:num>
  <w:num w:numId="1595287844">
    <w:abstractNumId w:val="1595287844"/>
  </w:num>
  <w:num w:numId="1606576783">
    <w:abstractNumId w:val="1606576783"/>
  </w:num>
  <w:num w:numId="1670596436">
    <w:abstractNumId w:val="1670596436"/>
  </w:num>
  <w:num w:numId="1699349640">
    <w:abstractNumId w:val="1699349640"/>
  </w:num>
  <w:num w:numId="1720546829">
    <w:abstractNumId w:val="1720546829"/>
  </w:num>
  <w:num w:numId="1721854598">
    <w:abstractNumId w:val="1721854598"/>
  </w:num>
  <w:num w:numId="1839347168">
    <w:abstractNumId w:val="1839347168"/>
  </w:num>
  <w:num w:numId="1881474006">
    <w:abstractNumId w:val="1881474006"/>
  </w:num>
  <w:num w:numId="1920483879">
    <w:abstractNumId w:val="1920483879"/>
  </w:num>
  <w:num w:numId="1988244343">
    <w:abstractNumId w:val="1988244343"/>
  </w:num>
  <w:num w:numId="1994218097">
    <w:abstractNumId w:val="1994218097"/>
  </w:num>
  <w:num w:numId="2118479233">
    <w:abstractNumId w:val="211847923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paragraph" w:styleId="Heading1">
    <w:name w:val="Heading 1"/>
    <w:qFormat/>
    <w:basedOn w:val="Normal"/>
    <w:pPr>
      <w:spacing w:before="120" w:after="120"/>
    </w:pPr>
    <w:rPr>
      <w:b/>
      <w:rFonts w:ascii="Arial" w:hAnsi="Arial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eading1Char">
    <w:name w:val="Heading 1 Char"/>
    <w:qFormat/>
    <w:rPr>
      <w:b/>
      <w:rFonts w:ascii="Arial" w:hAnsi="Arial"/>
      <w:sz w:val="24"/>
      <w:szCs w:val="24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Strong">
    <w:name w:val="Strong"/>
    <w:qFormat/>
    <w:rPr>
      <w:b/>
    </w:rPr>
  </w:style>
  <w:style w:type="character" w:styleId="Hyperlink">
    <w:name w:val="Hyperlink"/>
    <w:qFormat/>
    <w:rPr>
      <w:u w:val="single"/>
      <w:color w:val="0000FF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Revision">
    <w:name w:val="Revision"/>
    <w:qFormat/>
    <w:pPr/>
    <w:rPr>
      <w:rFonts w:ascii="Times New Roman" w:hAnsi="Times New Roman"/>
      <w:sz w:val="24"/>
      <w:szCs w:val="24"/>
    </w:rPr>
  </w:style>
  <w:style w:type="character" w:styleId="CommentReference">
    <w:name w:val="Comment Reference"/>
    <w:qFormat/>
    <w:rPr>
      <w:sz w:val="16"/>
      <w:szCs w:val="16"/>
    </w:rPr>
  </w:style>
  <w:style w:type="paragraph" w:styleId="CommentText">
    <w:name w:val="Comment Text"/>
    <w:qFormat/>
    <w:basedOn w:val="Normal"/>
    <w:pPr/>
    <w:rPr>
      <w:sz w:val="20"/>
      <w:szCs w:val="20"/>
    </w:rPr>
  </w:style>
  <w:style w:type="character" w:styleId="CommentTextChar">
    <w:name w:val="Comment Text Char"/>
    <w:qFormat/>
    <w:rPr>
      <w:rFonts w:ascii="Times New Roman" w:hAnsi="Times New Roman"/>
    </w:rPr>
  </w:style>
  <w:style w:type="paragraph" w:styleId="CommentSubject">
    <w:name w:val="Comment Subject"/>
    <w:qFormat/>
    <w:basedOn w:val="CommentText"/>
    <w:pPr/>
    <w:rPr>
      <w:b/>
    </w:rPr>
  </w:style>
  <w:style w:type="character" w:styleId="CommentSubjectChar">
    <w:name w:val="Comment Subject Char"/>
    <w:qFormat/>
    <w:rPr>
      <w:b/>
      <w:rFonts w:ascii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