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Normal"/>
        <w:spacing w:line="360" w:lineRule="auto"/>
        <w:rPr>
          <w:b/>
          <w:rFonts w:ascii="Arial" w:hAnsi="Arial"/>
          <w:sz w:val="28"/>
          <w:szCs w:val="28"/>
        </w:rPr>
      </w:pPr>
    </w:p>
    <w:p>
      <w:pPr>
        <w:pStyle w:val="Normal"/>
        <w:spacing w:line="360" w:lineRule="auto"/>
        <w:rPr>
          <w:b/>
          <w:rFonts w:ascii="Arial" w:hAnsi="Arial"/>
          <w:sz w:val="28"/>
          <w:szCs w:val="28"/>
        </w:rPr>
      </w:pPr>
      <w:r>
        <w:rPr>
          <w:b/>
          <w:rFonts w:ascii="Arial" w:hAnsi="Arial"/>
          <w:sz w:val="28"/>
          <w:szCs w:val="28"/>
        </w:rPr>
        <w:t>General Data Protection Regulations – Security Breach</w:t>
      </w:r>
    </w:p>
    <w:p>
      <w:pPr>
        <w:pStyle w:val="Normal"/>
        <w:spacing w:line="360" w:lineRule="auto"/>
        <w:rPr>
          <w:b/>
          <w:rFonts w:ascii="Arial" w:hAnsi="Arial"/>
          <w:sz w:val="28"/>
          <w:szCs w:val="28"/>
        </w:rPr>
      </w:pPr>
    </w:p>
    <w:p>
      <w:pPr>
        <w:pStyle w:val="Normal"/>
        <w:spacing w:line="360" w:lineRule="auto"/>
        <w:rPr>
          <w:b/>
          <w:rFonts w:ascii="Arial" w:hAnsi="Arial"/>
          <w:sz w:val="22"/>
          <w:szCs w:val="22"/>
        </w:rPr>
      </w:pPr>
      <w:r>
        <w:rPr>
          <w:b/>
          <w:rFonts w:ascii="Arial" w:hAnsi="Arial"/>
          <w:sz w:val="22"/>
          <w:szCs w:val="22"/>
        </w:rPr>
        <w:t xml:space="preserve">Policy </w:t>
      </w:r>
      <w:r>
        <w:rPr>
          <w:b/>
          <w:rFonts w:ascii="Arial" w:hAnsi="Arial"/>
          <w:sz w:val="22"/>
          <w:szCs w:val="22"/>
        </w:rPr>
        <w:t>s</w:t>
      </w:r>
      <w:r>
        <w:rPr>
          <w:b/>
          <w:rFonts w:ascii="Arial" w:hAnsi="Arial"/>
          <w:sz w:val="22"/>
          <w:szCs w:val="22"/>
        </w:rPr>
        <w:t>tatement</w:t>
      </w:r>
    </w:p>
    <w:p>
      <w:pPr>
        <w:pStyle w:val="Normal"/>
        <w:spacing w:line="360" w:lineRule="auto"/>
        <w:rPr>
          <w:b/>
          <w:rFonts w:ascii="Arial" w:hAnsi="Arial"/>
          <w:sz w:val="22"/>
          <w:szCs w:val="22"/>
        </w:rPr>
      </w:pPr>
    </w:p>
    <w:p>
      <w:pPr>
        <w:pStyle w:val="Normal"/>
      </w:pPr>
      <w:r>
        <w:rPr>
          <w:rFonts w:ascii="Arial" w:hAnsi="Arial"/>
          <w:sz w:val="22"/>
          <w:szCs w:val="22"/>
        </w:rPr>
        <w:t xml:space="preserve">The following is the procedure that must be followed relating to a potential breach under GDPR legislation. </w:t>
      </w:r>
    </w:p>
    <w:p>
      <w:pPr>
        <w:pStyle w:val="Normal"/>
        <w:spacing w:line="360" w:lineRule="auto"/>
        <w:rPr>
          <w:rFonts w:ascii="Arial" w:hAnsi="Arial"/>
          <w:sz w:val="22"/>
          <w:szCs w:val="22"/>
        </w:rPr>
      </w:pPr>
    </w:p>
    <w:p>
      <w:pPr>
        <w:pStyle w:val="Normal"/>
        <w:spacing w:line="360" w:lineRule="auto"/>
      </w:pPr>
      <w:r>
        <w:rPr>
          <w:b/>
          <w:rFonts w:ascii="Arial" w:hAnsi="Arial"/>
          <w:sz w:val="22"/>
          <w:szCs w:val="22"/>
        </w:rPr>
        <w:t>Procedures</w:t>
      </w:r>
    </w:p>
    <w:p>
      <w:pPr>
        <w:pStyle w:val="Normal"/>
        <w:spacing w:line="360" w:lineRule="auto"/>
        <w:rPr>
          <w:b/>
          <w:rFonts w:ascii="Arial" w:hAnsi="Arial"/>
          <w:sz w:val="22"/>
          <w:szCs w:val="22"/>
        </w:rPr>
      </w:pPr>
    </w:p>
    <w:p>
      <w:pPr>
        <w:pStyle w:val="Normal"/>
        <w:numPr>
          <w:ilvl w:val="0"/>
          <w:numId w:val="575481644"/>
        </w:numPr>
        <w:rPr>
          <w:i/>
          <w:rFonts w:ascii="Arial" w:hAnsi="Arial"/>
          <w:sz w:val="22"/>
          <w:szCs w:val="22"/>
        </w:rPr>
      </w:pPr>
      <w:r>
        <w:rPr>
          <w:i/>
          <w:rFonts w:ascii="Arial" w:hAnsi="Arial"/>
          <w:sz w:val="22"/>
          <w:szCs w:val="22"/>
        </w:rPr>
        <w:t xml:space="preserve">Notify the Data Protection Officer of the suspected data breach </w:t>
      </w:r>
      <w:r>
        <w:rPr>
          <w:i/>
          <w:rFonts w:ascii="Arial" w:hAnsi="Arial"/>
          <w:sz w:val="22"/>
          <w:szCs w:val="22"/>
        </w:rPr>
        <w:t>(Caroline Humphreys)</w:t>
      </w:r>
    </w:p>
    <w:p>
      <w:pPr>
        <w:pStyle w:val="Normal"/>
        <w:ind w:left="360"/>
        <w:rPr>
          <w:i/>
          <w:rFonts w:ascii="Arial" w:hAnsi="Arial"/>
          <w:sz w:val="22"/>
          <w:szCs w:val="22"/>
        </w:rPr>
      </w:pPr>
    </w:p>
    <w:p>
      <w:pPr>
        <w:pStyle w:val="Normal"/>
        <w:numPr>
          <w:ilvl w:val="0"/>
          <w:numId w:val="575481644"/>
        </w:numPr>
        <w:rPr>
          <w:i/>
          <w:rFonts w:ascii="Arial" w:hAnsi="Arial"/>
          <w:sz w:val="22"/>
          <w:szCs w:val="22"/>
        </w:rPr>
      </w:pPr>
      <w:r>
        <w:rPr>
          <w:i/>
          <w:rFonts w:ascii="Arial" w:hAnsi="Arial"/>
          <w:sz w:val="22"/>
          <w:szCs w:val="22"/>
        </w:rPr>
        <w:t xml:space="preserve">The Data Protection Officer will instruct a team to investigate the potential breach to establish if it is real </w:t>
      </w:r>
    </w:p>
    <w:p>
      <w:pPr>
        <w:pStyle w:val="Normal"/>
        <w:ind w:left="360"/>
        <w:rPr>
          <w:i/>
          <w:rFonts w:ascii="Arial" w:hAnsi="Arial"/>
          <w:sz w:val="22"/>
          <w:szCs w:val="22"/>
        </w:rPr>
      </w:pPr>
    </w:p>
    <w:p>
      <w:pPr>
        <w:pStyle w:val="Normal"/>
        <w:numPr>
          <w:ilvl w:val="0"/>
          <w:numId w:val="575481644"/>
        </w:numPr>
        <w:rPr>
          <w:i/>
          <w:rFonts w:ascii="Arial" w:hAnsi="Arial"/>
          <w:sz w:val="22"/>
          <w:szCs w:val="22"/>
        </w:rPr>
      </w:pPr>
      <w:r>
        <w:rPr>
          <w:i/>
          <w:rFonts w:ascii="Arial" w:hAnsi="Arial"/>
          <w:sz w:val="22"/>
          <w:szCs w:val="22"/>
        </w:rPr>
        <w:t xml:space="preserve">The impact to individuals and organisations will be assessed </w:t>
      </w:r>
    </w:p>
    <w:p>
      <w:pPr>
        <w:pStyle w:val="Normal"/>
        <w:ind w:left="360"/>
        <w:rPr>
          <w:i/>
          <w:rFonts w:ascii="Arial" w:hAnsi="Arial"/>
          <w:sz w:val="22"/>
          <w:szCs w:val="22"/>
        </w:rPr>
      </w:pPr>
    </w:p>
    <w:p>
      <w:pPr>
        <w:pStyle w:val="Normal"/>
        <w:numPr>
          <w:ilvl w:val="0"/>
          <w:numId w:val="575481644"/>
        </w:numPr>
        <w:rPr>
          <w:i/>
          <w:rFonts w:ascii="Arial" w:hAnsi="Arial"/>
          <w:sz w:val="22"/>
          <w:szCs w:val="22"/>
        </w:rPr>
      </w:pPr>
      <w:r>
        <w:rPr>
          <w:i/>
          <w:rFonts w:ascii="Arial" w:hAnsi="Arial"/>
          <w:sz w:val="22"/>
          <w:szCs w:val="22"/>
        </w:rPr>
        <w:t xml:space="preserve">Notify the Information Commissioners Office (ICO) within 72 hours with details of: </w:t>
      </w:r>
    </w:p>
    <w:p>
      <w:pPr>
        <w:pStyle w:val="Normal"/>
        <w:numPr>
          <w:ilvl w:val="1"/>
          <w:numId w:val="639771365"/>
        </w:numPr>
        <w:rPr>
          <w:i/>
          <w:rFonts w:ascii="Arial" w:hAnsi="Arial"/>
          <w:sz w:val="22"/>
          <w:szCs w:val="22"/>
        </w:rPr>
      </w:pPr>
      <w:r>
        <w:rPr>
          <w:i/>
          <w:rFonts w:ascii="Arial" w:hAnsi="Arial"/>
          <w:sz w:val="22"/>
          <w:szCs w:val="22"/>
        </w:rPr>
        <w:t xml:space="preserve">The nature of the personal data breach </w:t>
      </w:r>
    </w:p>
    <w:p>
      <w:pPr>
        <w:pStyle w:val="Normal"/>
        <w:numPr>
          <w:ilvl w:val="1"/>
          <w:numId w:val="639771365"/>
        </w:numPr>
      </w:pPr>
      <w:r>
        <w:rPr>
          <w:i/>
          <w:rFonts w:ascii="Arial" w:hAnsi="Arial"/>
          <w:sz w:val="22"/>
          <w:szCs w:val="22"/>
        </w:rPr>
        <w:t>The categories and approximate nu</w:t>
      </w:r>
      <w:r>
        <w:rPr>
          <w:i/>
          <w:rFonts w:ascii="Arial" w:hAnsi="Arial"/>
          <w:sz w:val="22"/>
          <w:szCs w:val="22"/>
        </w:rPr>
        <w:t xml:space="preserve">mber of individuals concerned </w:t>
      </w:r>
    </w:p>
    <w:p>
      <w:pPr>
        <w:pStyle w:val="Normal"/>
        <w:numPr>
          <w:ilvl w:val="1"/>
          <w:numId w:val="639771365"/>
        </w:numPr>
      </w:pPr>
      <w:r>
        <w:rPr>
          <w:i/>
          <w:rFonts w:ascii="Arial" w:hAnsi="Arial"/>
          <w:sz w:val="22"/>
          <w:szCs w:val="22"/>
        </w:rPr>
        <w:t>The categories and approximate number of pe</w:t>
      </w:r>
      <w:r>
        <w:rPr>
          <w:i/>
          <w:rFonts w:ascii="Arial" w:hAnsi="Arial"/>
          <w:sz w:val="22"/>
          <w:szCs w:val="22"/>
        </w:rPr>
        <w:t xml:space="preserve">rsonal data records concerned </w:t>
      </w:r>
    </w:p>
    <w:p>
      <w:pPr>
        <w:pStyle w:val="Normal"/>
        <w:numPr>
          <w:ilvl w:val="1"/>
          <w:numId w:val="639771365"/>
        </w:numPr>
      </w:pPr>
      <w:r>
        <w:rPr>
          <w:i/>
          <w:rFonts w:ascii="Arial" w:hAnsi="Arial"/>
          <w:sz w:val="22"/>
          <w:szCs w:val="22"/>
        </w:rPr>
        <w:t>The name and contact details o</w:t>
      </w:r>
      <w:r>
        <w:rPr>
          <w:i/>
          <w:rFonts w:ascii="Arial" w:hAnsi="Arial"/>
          <w:sz w:val="22"/>
          <w:szCs w:val="22"/>
        </w:rPr>
        <w:t xml:space="preserve">f the Data Protection Officer </w:t>
      </w:r>
    </w:p>
    <w:p>
      <w:pPr>
        <w:pStyle w:val="Normal"/>
        <w:numPr>
          <w:ilvl w:val="1"/>
          <w:numId w:val="639771365"/>
        </w:numPr>
      </w:pPr>
      <w:r>
        <w:rPr>
          <w:i/>
          <w:rFonts w:ascii="Arial" w:hAnsi="Arial"/>
          <w:sz w:val="22"/>
          <w:szCs w:val="22"/>
        </w:rPr>
        <w:t>A description of the likely consequence</w:t>
      </w:r>
      <w:r>
        <w:rPr>
          <w:i/>
          <w:rFonts w:ascii="Arial" w:hAnsi="Arial"/>
          <w:sz w:val="22"/>
          <w:szCs w:val="22"/>
        </w:rPr>
        <w:t xml:space="preserve">s of the personal data breach </w:t>
      </w:r>
    </w:p>
    <w:p>
      <w:pPr>
        <w:pStyle w:val="Normal"/>
        <w:numPr>
          <w:ilvl w:val="1"/>
          <w:numId w:val="639771365"/>
        </w:numPr>
        <w:rPr>
          <w:i/>
          <w:rFonts w:ascii="Arial" w:hAnsi="Arial"/>
          <w:sz w:val="22"/>
          <w:szCs w:val="22"/>
        </w:rPr>
      </w:pPr>
      <w:r>
        <w:rPr>
          <w:i/>
          <w:rFonts w:ascii="Arial" w:hAnsi="Arial"/>
          <w:sz w:val="22"/>
          <w:szCs w:val="22"/>
        </w:rPr>
        <w:t xml:space="preserve">A description of the measures taken, or proposed to be taken, to deal with the personal data breach and, where appropriate, of the measures taken to mitigate any possible adverse effects </w:t>
      </w:r>
    </w:p>
    <w:p>
      <w:pPr>
        <w:pStyle w:val="Normal"/>
        <w:rPr>
          <w:i/>
          <w:rFonts w:ascii="Arial" w:hAnsi="Arial"/>
          <w:sz w:val="22"/>
          <w:szCs w:val="22"/>
        </w:rPr>
      </w:pPr>
    </w:p>
    <w:p>
      <w:pPr>
        <w:pStyle w:val="Normal"/>
        <w:rPr>
          <w:i/>
          <w:rFonts w:ascii="Arial" w:hAnsi="Arial"/>
          <w:sz w:val="22"/>
          <w:szCs w:val="22"/>
        </w:rPr>
      </w:pPr>
    </w:p>
    <w:p>
      <w:pPr>
        <w:pStyle w:val="Normal"/>
      </w:pPr>
      <w:r>
        <w:rPr>
          <w:i/>
          <w:rFonts w:ascii="Arial" w:hAnsi="Arial"/>
          <w:sz w:val="22"/>
          <w:szCs w:val="22"/>
        </w:rPr>
        <w:t>This is only necessary if the breach could result in</w:t>
      </w:r>
      <w:r>
        <w:rPr>
          <w:i/>
          <w:rFonts w:ascii="Arial" w:hAnsi="Arial"/>
          <w:sz w:val="22"/>
          <w:szCs w:val="22"/>
        </w:rPr>
        <w:t>:</w:t>
      </w:r>
    </w:p>
    <w:p>
      <w:pPr>
        <w:pStyle w:val="Normal"/>
        <w:rPr>
          <w:i/>
          <w:rFonts w:ascii="Arial" w:hAnsi="Arial"/>
          <w:sz w:val="22"/>
          <w:szCs w:val="22"/>
        </w:rPr>
      </w:pPr>
    </w:p>
    <w:p>
      <w:pPr>
        <w:pStyle w:val="Normal"/>
        <w:numPr>
          <w:ilvl w:val="0"/>
          <w:numId w:val="661465217"/>
        </w:numPr>
      </w:pPr>
      <w:r>
        <w:rPr>
          <w:i/>
          <w:rFonts w:ascii="Arial" w:hAnsi="Arial"/>
          <w:sz w:val="22"/>
          <w:szCs w:val="22"/>
        </w:rPr>
        <w:t xml:space="preserve">Discrimination </w:t>
      </w:r>
    </w:p>
    <w:p>
      <w:pPr>
        <w:pStyle w:val="Normal"/>
        <w:numPr>
          <w:ilvl w:val="0"/>
          <w:numId w:val="661465217"/>
        </w:numPr>
      </w:pPr>
      <w:r>
        <w:rPr>
          <w:i/>
          <w:rFonts w:ascii="Arial" w:hAnsi="Arial"/>
          <w:sz w:val="22"/>
          <w:szCs w:val="22"/>
        </w:rPr>
        <w:t xml:space="preserve">Damage to reputation </w:t>
      </w:r>
    </w:p>
    <w:p>
      <w:pPr>
        <w:pStyle w:val="Normal"/>
        <w:numPr>
          <w:ilvl w:val="0"/>
          <w:numId w:val="661465217"/>
        </w:numPr>
      </w:pPr>
      <w:r>
        <w:rPr>
          <w:i/>
          <w:rFonts w:ascii="Arial" w:hAnsi="Arial"/>
          <w:sz w:val="22"/>
          <w:szCs w:val="22"/>
        </w:rPr>
        <w:t>Financial l</w:t>
      </w:r>
      <w:r>
        <w:rPr>
          <w:i/>
          <w:rFonts w:ascii="Arial" w:hAnsi="Arial"/>
          <w:sz w:val="22"/>
          <w:szCs w:val="22"/>
        </w:rPr>
        <w:t xml:space="preserve">oss </w:t>
      </w:r>
    </w:p>
    <w:p>
      <w:pPr>
        <w:pStyle w:val="Normal"/>
        <w:numPr>
          <w:ilvl w:val="0"/>
          <w:numId w:val="661465217"/>
        </w:numPr>
      </w:pPr>
      <w:r>
        <w:rPr>
          <w:i/>
          <w:rFonts w:ascii="Arial" w:hAnsi="Arial"/>
          <w:sz w:val="22"/>
          <w:szCs w:val="22"/>
        </w:rPr>
        <w:t xml:space="preserve">Loss of confidentiality </w:t>
      </w:r>
    </w:p>
    <w:p>
      <w:pPr>
        <w:pStyle w:val="Normal"/>
        <w:numPr>
          <w:ilvl w:val="0"/>
          <w:numId w:val="661465217"/>
        </w:numPr>
      </w:pPr>
      <w:r>
        <w:rPr>
          <w:i/>
          <w:rFonts w:ascii="Arial" w:hAnsi="Arial"/>
          <w:sz w:val="22"/>
          <w:szCs w:val="22"/>
        </w:rPr>
        <w:t xml:space="preserve">Economic disadvantage </w:t>
      </w:r>
    </w:p>
    <w:p>
      <w:pPr>
        <w:pStyle w:val="Normal"/>
        <w:numPr>
          <w:ilvl w:val="0"/>
          <w:numId w:val="661465217"/>
        </w:numPr>
        <w:rPr>
          <w:i/>
          <w:rFonts w:ascii="Arial" w:hAnsi="Arial"/>
          <w:sz w:val="22"/>
          <w:szCs w:val="22"/>
        </w:rPr>
      </w:pPr>
      <w:r>
        <w:rPr>
          <w:i/>
          <w:rFonts w:ascii="Arial" w:hAnsi="Arial"/>
          <w:sz w:val="22"/>
          <w:szCs w:val="22"/>
        </w:rPr>
        <w:t xml:space="preserve">Social disadvantage </w:t>
      </w:r>
    </w:p>
    <w:p>
      <w:pPr>
        <w:pStyle w:val="Normal"/>
        <w:rPr>
          <w:i/>
          <w:rFonts w:ascii="Arial" w:hAnsi="Arial"/>
          <w:sz w:val="22"/>
          <w:szCs w:val="22"/>
        </w:rPr>
      </w:pPr>
    </w:p>
    <w:p>
      <w:pPr>
        <w:pStyle w:val="Normal"/>
        <w:rPr>
          <w:i/>
          <w:rFonts w:ascii="Arial" w:hAnsi="Arial"/>
          <w:sz w:val="22"/>
          <w:szCs w:val="22"/>
        </w:rPr>
      </w:pPr>
    </w:p>
    <w:p>
      <w:pPr>
        <w:pStyle w:val="Normal"/>
        <w:rPr>
          <w:i/>
          <w:rFonts w:ascii="Arial" w:hAnsi="Arial"/>
          <w:sz w:val="22"/>
          <w:szCs w:val="22"/>
        </w:rPr>
      </w:pPr>
      <w:r>
        <w:rPr>
          <w:i/>
          <w:rFonts w:ascii="Arial" w:hAnsi="Arial"/>
          <w:sz w:val="22"/>
          <w:szCs w:val="22"/>
        </w:rPr>
        <w:t xml:space="preserve">Notify any individuals concerned if there may be a risk to the rights and freedoms of those individuals </w:t>
      </w:r>
    </w:p>
    <w:p>
      <w:pPr>
        <w:pStyle w:val="Normal"/>
        <w:rPr>
          <w:i/>
          <w:rFonts w:ascii="Arial" w:hAnsi="Arial"/>
          <w:sz w:val="22"/>
          <w:szCs w:val="22"/>
        </w:rPr>
      </w:pPr>
    </w:p>
    <w:p>
      <w:pPr>
        <w:pStyle w:val="Normal"/>
      </w:pPr>
      <w:r>
        <w:rPr>
          <w:i/>
          <w:rFonts w:ascii="Arial" w:hAnsi="Arial"/>
          <w:sz w:val="22"/>
          <w:szCs w:val="22"/>
        </w:rPr>
        <w:t xml:space="preserve">Resolve breach  </w:t>
      </w:r>
    </w:p>
    <w:p>
      <w:pPr>
        <w:pStyle w:val="Normal"/>
        <w:ind w:left="360"/>
        <w:spacing w:line="360" w:lineRule="auto"/>
        <w:rPr>
          <w:i/>
          <w:rFonts w:ascii="Arial" w:hAnsi="Arial"/>
          <w:sz w:val="22"/>
          <w:szCs w:val="22"/>
        </w:rPr>
      </w:pPr>
    </w:p>
    <w:p>
      <w:pPr>
        <w:pStyle w:val="Normal"/>
        <w:spacing w:line="360" w:lineRule="auto"/>
      </w:pPr>
      <w:r>
        <w:rPr>
          <w:b/>
          <w:rFonts w:ascii="Arial" w:hAnsi="Arial"/>
          <w:sz w:val="22"/>
          <w:szCs w:val="22"/>
        </w:rPr>
        <w:t>Legal framework</w:t>
      </w:r>
    </w:p>
    <w:p>
      <w:pPr>
        <w:pStyle w:val="Normal"/>
        <w:spacing w:line="360" w:lineRule="auto"/>
        <w:rPr>
          <w:b/>
          <w:rFonts w:ascii="Arial" w:hAnsi="Arial"/>
          <w:sz w:val="22"/>
          <w:szCs w:val="22"/>
        </w:rPr>
      </w:pPr>
    </w:p>
    <w:p>
      <w:pPr>
        <w:pStyle w:val="ColorfulList-Accent11"/>
        <w:numPr>
          <w:ilvl w:val="0"/>
          <w:numId w:val="6"/>
        </w:numPr>
        <w:spacing w:line="360" w:lineRule="auto"/>
        <w:rPr>
          <w:rFonts w:ascii="Arial" w:hAnsi="Arial"/>
          <w:sz w:val="22"/>
          <w:szCs w:val="22"/>
        </w:rPr>
      </w:pPr>
      <w:r>
        <w:rPr>
          <w:color w:val="000000"/>
          <w:rFonts w:ascii="Arial" w:hAnsi="Arial"/>
          <w:sz w:val="22"/>
          <w:szCs w:val="22"/>
        </w:rPr>
        <w:t>General Data Protection Regulations (GDPR) (2018)</w:t>
      </w:r>
    </w:p>
    <w:p>
      <w:pPr>
        <w:pStyle w:val="Normal"/>
        <w:ind w:left="360"/>
        <w:spacing w:line="360" w:lineRule="auto"/>
        <w:rPr>
          <w:rFonts w:ascii="Arial" w:hAnsi="Arial"/>
          <w:sz w:val="22"/>
          <w:szCs w:val="22"/>
        </w:rPr>
      </w:pPr>
    </w:p>
    <w:p>
      <w:pPr>
        <w:pStyle w:val="Normal"/>
        <w:spacing w:line="360" w:lineRule="auto"/>
        <w:rPr>
          <w:rFonts w:ascii="Arial" w:hAnsi="Arial"/>
          <w:sz w:val="22"/>
          <w:szCs w:val="22"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Style w:val="TableNormal"/>
        <w:tblLook w:val="4A0"/>
        <w:tblW w:w="5000" w:type="pct"/>
      </w:tblPr>
      <w:tblGrid>
        <w:gridCol w:w="5210"/>
        <w:gridCol w:w="3945"/>
        <w:gridCol w:w="2167"/>
      </w:tblGrid>
      <w:tr>
        <w:tc>
          <w:tcPr>
            <w:vAlign w:val="top"/>
            <w:tcW w:w="2301" w:type="pct"/>
          </w:tcPr>
          <w:p>
            <w:pPr>
              <w:pStyle w:val="Normal"/>
              <w:spacing w:line="360" w:lineRule="auto"/>
            </w:pPr>
            <w:r>
              <w:rPr>
                <w:rFonts w:ascii="Arial" w:hAnsi="Arial"/>
                <w:sz w:val="22"/>
                <w:szCs w:val="22"/>
              </w:rPr>
              <w:t xml:space="preserve">This policy was adopted </w:t>
            </w:r>
            <w:r>
              <w:rPr>
                <w:rFonts w:ascii="Arial" w:hAnsi="Arial"/>
                <w:sz w:val="22"/>
                <w:szCs w:val="22"/>
              </w:rPr>
              <w:t>by</w:t>
            </w:r>
          </w:p>
        </w:tc>
        <w:tc>
          <w:tcPr>
            <w:tcBorders>
              <w:bottom w:val="single" w:sz="4" w:color="FF00FF" w:space="0"/>
            </w:tcBorders>
            <w:vAlign w:val="top"/>
            <w:tcW w:w="1742" w:type="pct"/>
          </w:tcPr>
          <w:p>
            <w:pPr>
              <w:pStyle w:val="Normal"/>
              <w:spacing w:line="360" w:lineRule="auto"/>
            </w:pPr>
            <w:r>
              <w:rPr>
                <w:rFonts w:ascii="Arial" w:hAnsi="Arial"/>
              </w:rPr>
              <w:t>Sheering Village Pre-School CIC</w:t>
            </w:r>
          </w:p>
        </w:tc>
        <w:tc>
          <w:tcPr>
            <w:vAlign w:val="top"/>
            <w:tcW w:w="957" w:type="pct"/>
          </w:tcPr>
          <w:p>
            <w:pPr>
              <w:pStyle w:val="Normal"/>
              <w:spacing w:line="360" w:lineRule="auto"/>
            </w:pPr>
            <w:r>
              <w:rPr>
                <w:i/>
                <w:rFonts w:ascii="Arial" w:hAnsi="Arial"/>
                <w:sz w:val="22"/>
                <w:szCs w:val="22"/>
              </w:rPr>
              <w:t>(</w:t>
            </w:r>
            <w:r>
              <w:rPr>
                <w:i/>
                <w:rFonts w:ascii="Arial" w:hAnsi="Arial"/>
                <w:sz w:val="22"/>
                <w:szCs w:val="22"/>
              </w:rPr>
              <w:t xml:space="preserve">name of </w:t>
            </w:r>
            <w:r>
              <w:rPr>
                <w:i/>
                <w:rFonts w:ascii="Arial" w:hAnsi="Arial"/>
                <w:sz w:val="22"/>
                <w:szCs w:val="22"/>
              </w:rPr>
              <w:t>provider</w:t>
            </w:r>
            <w:r>
              <w:rPr>
                <w:i/>
                <w:rFonts w:ascii="Arial" w:hAnsi="Arial"/>
                <w:sz w:val="22"/>
                <w:szCs w:val="22"/>
              </w:rPr>
              <w:t>)</w:t>
            </w:r>
          </w:p>
        </w:tc>
      </w:tr>
      <w:tr>
        <w:tc>
          <w:tcPr>
            <w:vAlign w:val="top"/>
            <w:tcW w:w="2301" w:type="pct"/>
          </w:tcPr>
          <w:p>
            <w:pPr>
              <w:pStyle w:val="Normal"/>
              <w:spacing w:line="360" w:lineRule="auto"/>
            </w:pPr>
            <w:r>
              <w:rPr>
                <w:rFonts w:ascii="Arial" w:hAnsi="Arial"/>
                <w:sz w:val="22"/>
                <w:szCs w:val="22"/>
              </w:rPr>
              <w:t>On</w:t>
            </w:r>
          </w:p>
        </w:tc>
        <w:tc>
          <w:tcPr>
            <w:tcBorders>
              <w:top w:val="single" w:sz="4" w:color="FF00FF" w:space="0"/>
              <w:bottom w:val="single" w:sz="4" w:color="FF00FF" w:space="0"/>
            </w:tcBorders>
            <w:vAlign w:val="top"/>
            <w:tcW w:w="1742" w:type="pct"/>
          </w:tcPr>
          <w:p>
            <w:pPr>
              <w:pStyle w:val="Normal"/>
              <w:spacing w:line="360" w:lineRule="auto"/>
            </w:pPr>
            <w:r>
              <w:rPr>
                <w:rFonts w:ascii="Arial" w:hAnsi="Arial"/>
              </w:rPr>
              <w:t>1st October</w:t>
            </w:r>
            <w:r>
              <w:rPr>
                <w:rFonts w:ascii="Arial" w:hAnsi="Arial"/>
              </w:rPr>
              <w:t xml:space="preserve"> 2019</w:t>
            </w:r>
          </w:p>
        </w:tc>
        <w:tc>
          <w:tcPr>
            <w:vAlign w:val="top"/>
            <w:tcW w:w="957" w:type="pct"/>
          </w:tcPr>
          <w:p>
            <w:pPr>
              <w:pStyle w:val="Normal"/>
              <w:spacing w:line="360" w:lineRule="auto"/>
            </w:pPr>
            <w:r>
              <w:rPr>
                <w:i/>
                <w:rFonts w:ascii="Arial" w:hAnsi="Arial"/>
                <w:sz w:val="22"/>
                <w:szCs w:val="22"/>
              </w:rPr>
              <w:t>(date)</w:t>
            </w:r>
          </w:p>
        </w:tc>
      </w:tr>
      <w:tr>
        <w:tc>
          <w:tcPr>
            <w:vAlign w:val="top"/>
            <w:tcW w:w="2301" w:type="pct"/>
          </w:tcPr>
          <w:p>
            <w:pPr>
              <w:pStyle w:val="Normal"/>
              <w:spacing w:line="360" w:lineRule="auto"/>
            </w:pPr>
            <w:r>
              <w:rPr>
                <w:rFonts w:ascii="Arial" w:hAnsi="Arial"/>
                <w:sz w:val="22"/>
                <w:szCs w:val="22"/>
              </w:rPr>
              <w:t>Date to be reviewed</w:t>
            </w:r>
          </w:p>
        </w:tc>
        <w:tc>
          <w:tcPr>
            <w:tcBorders>
              <w:top w:val="single" w:sz="4" w:color="FF00FF" w:space="0"/>
              <w:bottom w:val="single" w:sz="4" w:color="FF00FF" w:space="0"/>
            </w:tcBorders>
            <w:vAlign w:val="top"/>
            <w:tcW w:w="1742" w:type="pct"/>
          </w:tcPr>
          <w:p>
            <w:pPr>
              <w:pStyle w:val="Normal"/>
              <w:spacing w:line="360" w:lineRule="auto"/>
            </w:pPr>
            <w:r>
              <w:rPr>
                <w:rFonts w:ascii="Arial" w:hAnsi="Arial"/>
              </w:rPr>
              <w:t>October</w:t>
            </w:r>
            <w:r>
              <w:rPr>
                <w:rFonts w:ascii="Arial" w:hAnsi="Arial"/>
              </w:rPr>
              <w:t xml:space="preserve"> 2020</w:t>
            </w:r>
          </w:p>
        </w:tc>
        <w:tc>
          <w:tcPr>
            <w:vAlign w:val="top"/>
            <w:tcW w:w="957" w:type="pct"/>
          </w:tcPr>
          <w:p>
            <w:pPr>
              <w:pStyle w:val="Normal"/>
              <w:spacing w:line="360" w:lineRule="auto"/>
            </w:pPr>
            <w:r>
              <w:rPr>
                <w:i/>
                <w:rFonts w:ascii="Arial" w:hAnsi="Arial"/>
                <w:sz w:val="22"/>
                <w:szCs w:val="22"/>
              </w:rPr>
              <w:t>(date)</w:t>
            </w:r>
          </w:p>
        </w:tc>
      </w:tr>
      <w:tr>
        <w:tc>
          <w:tcPr>
            <w:vAlign w:val="top"/>
            <w:tcW w:w="2301" w:type="pct"/>
          </w:tcPr>
          <w:p>
            <w:pPr>
              <w:pStyle w:val="Normal"/>
              <w:spacing w:line="360" w:lineRule="auto"/>
            </w:pPr>
            <w:r>
              <w:rPr>
                <w:rFonts w:ascii="Arial" w:hAnsi="Arial"/>
                <w:sz w:val="22"/>
                <w:szCs w:val="22"/>
              </w:rPr>
              <w:t xml:space="preserve">Signed on behalf of the </w:t>
            </w:r>
            <w:r>
              <w:rPr>
                <w:rFonts w:ascii="Arial" w:hAnsi="Arial"/>
                <w:sz w:val="22"/>
                <w:szCs w:val="22"/>
              </w:rPr>
              <w:t>provider</w:t>
            </w:r>
          </w:p>
        </w:tc>
        <w:tc>
          <w:tcPr>
            <w:gridSpan w:val="2"/>
            <w:tcBorders>
              <w:bottom w:val="single" w:sz="4" w:color="FF00FF" w:space="0"/>
            </w:tcBorders>
            <w:vAlign w:val="top"/>
            <w:tcW w:w="2699" w:type="pct"/>
          </w:tcPr>
          <w:p>
            <w:pPr>
              <w:pStyle w:val="Normal"/>
              <w:spacing w:line="360" w:lineRule="auto"/>
            </w:pPr>
          </w:p>
        </w:tc>
      </w:tr>
      <w:tr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top"/>
            <w:tcW w:w="2301" w:type="pct"/>
          </w:tcPr>
          <w:p>
            <w:pPr>
              <w:pStyle w:val="Normal"/>
              <w:spacing w:line="360" w:lineRule="auto"/>
            </w:pPr>
            <w:r>
              <w:rPr>
                <w:rFonts w:ascii="Arial" w:hAnsi="Arial"/>
                <w:sz w:val="22"/>
                <w:szCs w:val="22"/>
              </w:rPr>
              <w:t>Name of signatory</w:t>
            </w:r>
          </w:p>
        </w:tc>
        <w:tc>
          <w:tcPr>
            <w:gridSpan w:val="2"/>
            <w:tcBorders>
              <w:top w:val="single" w:sz="4" w:color="FF00FF" w:space="0"/>
              <w:bottom w:val="single" w:sz="4" w:color="FF00FF" w:space="0"/>
              <w:left w:val="nil" w:sz="0" w:color="auto" w:space="0"/>
              <w:right w:val="nil" w:sz="0" w:color="auto" w:space="0"/>
            </w:tcBorders>
            <w:vAlign w:val="top"/>
            <w:tcW w:w="2699" w:type="pct"/>
          </w:tcPr>
          <w:p>
            <w:pPr>
              <w:pStyle w:val="Normal"/>
              <w:spacing w:line="360" w:lineRule="auto"/>
            </w:pPr>
            <w:r>
              <w:rPr>
                <w:rFonts w:ascii="Arial" w:hAnsi="Arial"/>
              </w:rPr>
              <w:t>Angie Rivoire</w:t>
            </w:r>
          </w:p>
        </w:tc>
      </w:tr>
      <w:tr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top"/>
            <w:tcW w:w="2301" w:type="pct"/>
          </w:tcPr>
          <w:p>
            <w:pPr>
              <w:pStyle w:val="Normal"/>
              <w:spacing w:line="360" w:lineRule="auto"/>
            </w:pPr>
            <w:r>
              <w:rPr>
                <w:rFonts w:ascii="Arial" w:hAnsi="Arial"/>
                <w:sz w:val="22"/>
                <w:szCs w:val="22"/>
              </w:rPr>
              <w:t>Role of signatory (e.g. chair</w:t>
            </w:r>
            <w:r>
              <w:rPr>
                <w:rFonts w:ascii="Arial" w:hAnsi="Arial"/>
                <w:sz w:val="22"/>
                <w:szCs w:val="22"/>
              </w:rPr>
              <w:t xml:space="preserve">, director or </w:t>
            </w:r>
            <w:r>
              <w:rPr>
                <w:rFonts w:ascii="Arial" w:hAnsi="Arial"/>
                <w:sz w:val="22"/>
                <w:szCs w:val="22"/>
              </w:rPr>
              <w:t>owner)</w:t>
            </w:r>
          </w:p>
        </w:tc>
        <w:tc>
          <w:tcPr>
            <w:gridSpan w:val="2"/>
            <w:tcBorders>
              <w:top w:val="single" w:sz="4" w:color="FF00FF" w:space="0"/>
              <w:bottom w:val="single" w:sz="4" w:color="FF00FF" w:space="0"/>
              <w:left w:val="nil" w:sz="0" w:color="auto" w:space="0"/>
              <w:right w:val="nil" w:sz="0" w:color="auto" w:space="0"/>
            </w:tcBorders>
            <w:vAlign w:val="top"/>
            <w:tcW w:w="2699" w:type="pct"/>
          </w:tcPr>
          <w:p>
            <w:pPr>
              <w:pStyle w:val="Normal"/>
              <w:spacing w:line="360" w:lineRule="auto"/>
            </w:pPr>
            <w:r>
              <w:rPr>
                <w:rFonts w:ascii="Arial" w:hAnsi="Arial"/>
              </w:rPr>
              <w:t>Manager, Director</w:t>
            </w:r>
          </w:p>
        </w:tc>
      </w:tr>
    </w:tbl>
    <w:p>
      <w:pPr>
        <w:pStyle w:val="Normal"/>
        <w:spacing w:line="360" w:lineRule="auto"/>
        <w:rPr>
          <w:b/>
          <w:rFonts w:ascii="Arial" w:hAnsi="Arial"/>
          <w:sz w:val="22"/>
          <w:szCs w:val="22"/>
        </w:rPr>
      </w:pPr>
    </w:p>
    <w:sectPr>
      <w:headerReference r:id="rId8" w:type="first"/>
      <w:pgSz w:w="12240" w:h="15840"/>
      <w:pgMar w:left="567" w:right="567" w:top="567" w:bottom="567"/>
      <w:titlePg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Calibri"/>
  <w:font w:name="Tahoma"/>
  <w:font w:name="Wingdings"/>
  <w:font w:name="Courier New"/>
  <w:font w:name="Cambria Math"/>
  <w:font w:name="Cambria"/>
</w:font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Bdr>
        <w:top w:val="single" w:sz="4" w:color="FF00FF" w:space="1"/>
        <w:bottom w:val="single" w:sz="4" w:color="FF00FF" w:space="1"/>
        <w:left w:val="single" w:sz="4" w:color="FF00FF" w:space="4"/>
        <w:right w:val="single" w:sz="4" w:color="FF00FF" w:space="4"/>
      </w:pBdr>
      <w:pStyle w:val="Normal"/>
      <w:spacing w:before="120" w:after="120"/>
      <w:rPr>
        <w:rFonts w:ascii="Arial" w:hAnsi="Arial"/>
        <w:sz w:val="22"/>
        <w:szCs w:val="22"/>
      </w:rPr>
    </w:pPr>
    <w:r>
      <w:rPr>
        <w:b/>
        <w:rFonts w:ascii="Arial" w:hAnsi="Arial"/>
        <w:sz w:val="22"/>
        <w:szCs w:val="22"/>
      </w:rPr>
      <w:t>Safeguarding and Welfare Requirement: Information and Records</w:t>
    </w:r>
  </w:p>
  <w:p>
    <w:pPr>
      <w:pBdr>
        <w:top w:val="single" w:sz="4" w:color="FF00FF" w:space="1"/>
        <w:bottom w:val="single" w:sz="4" w:color="FF00FF" w:space="1"/>
        <w:left w:val="single" w:sz="4" w:color="FF00FF" w:space="4"/>
        <w:right w:val="single" w:sz="4" w:color="FF00FF" w:space="4"/>
      </w:pBdr>
      <w:pStyle w:val="Normal"/>
      <w:spacing w:before="120" w:after="120"/>
    </w:pPr>
    <w:r>
      <w:rPr>
        <w:rFonts w:ascii="Arial" w:hAnsi="Arial"/>
        <w:sz w:val="22"/>
        <w:szCs w:val="22"/>
      </w:rPr>
      <w:t>Providers must maintain records and obtain and share information to ensure the safe and efficient management of the setting, and to help ensure the needs of all children are met.</w:t>
    </w:r>
  </w:p>
  <w:p>
    <w:pPr>
      <w:pStyle w:val="Header"/>
      <w:rPr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">
    <w:multiLevelType w:val="singleLevel"/>
    <w:lvl w:ilvl="0">
      <w:numFmt w:val="bullet"/>
      <w:lvlText w:val=""/>
      <w:start w:val="0"/>
      <w:lvlJc w:val="left"/>
      <w:pPr>
        <w:ind w:left="360"/>
        <w:ind w:hanging="360"/>
      </w:pPr>
      <w:rPr>
        <w:color w:val="7030A0"/>
        <w:rFonts w:ascii="Wingdings" w:hAnsi="Wingdings"/>
      </w:rPr>
    </w:lvl>
  </w:abstractNum>
  <w:abstractNum w:abstractNumId="513812106">
    <w:multiLevelType w:val="hybridMultilevel"/>
    <w:lvl w:ilvl="0">
      <w:numFmt w:val="bullet"/>
      <w:lvlText w:val=""/>
      <w:start w:val="0"/>
      <w:lvlJc w:val="left"/>
      <w:pPr>
        <w:ind w:left="360"/>
        <w:ind w:hanging="360"/>
      </w:pPr>
      <w:rPr>
        <w:color w:val="C0504D"/>
        <w:rFonts w:ascii="Wingdings" w:hAnsi="Wingdings"/>
      </w:rPr>
    </w:lvl>
    <w:lvl w:ilvl="1">
      <w:numFmt w:val="bullet"/>
      <w:lvlText w:val="o"/>
      <w:start w:val="0"/>
      <w:lvlJc w:val="left"/>
      <w:pPr>
        <w:ind w:left="180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52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324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96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68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40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612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840"/>
        <w:ind w:hanging="360"/>
      </w:pPr>
      <w:rPr>
        <w:rFonts w:ascii="Wingdings" w:hAnsi="Wingdings"/>
      </w:rPr>
    </w:lvl>
  </w:abstractNum>
  <w:abstractNum w:abstractNumId="575481644">
    <w:multiLevelType w:val="hybridMultilevel"/>
    <w:lvl w:ilvl="0">
      <w:numFmt w:val="bullet"/>
      <w:lvlText w:val=""/>
      <w:start w:val="0"/>
      <w:lvlJc w:val="left"/>
      <w:pPr>
        <w:ind w:left="108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80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52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324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96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68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40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612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840"/>
        <w:ind w:hanging="360"/>
      </w:pPr>
      <w:rPr>
        <w:rFonts w:ascii="Wingdings" w:hAnsi="Wingdings"/>
      </w:rPr>
    </w:lvl>
  </w:abstractNum>
  <w:abstractNum w:abstractNumId="639771365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661465217">
    <w:multiLevelType w:val="hybridMultilevel"/>
    <w:lvl w:ilvl="0">
      <w:numFmt w:val="bullet"/>
      <w:lvlText w:val=""/>
      <w:start w:val="0"/>
      <w:lvlJc w:val="left"/>
      <w:pPr>
        <w:ind w:left="180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252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324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396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468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540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612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684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7560"/>
        <w:ind w:hanging="360"/>
      </w:pPr>
      <w:rPr>
        <w:rFonts w:ascii="Wingdings" w:hAnsi="Wingdings"/>
      </w:rPr>
    </w:lvl>
  </w:abstractNum>
  <w:abstractNum w:abstractNumId="805968772">
    <w:multiLevelType w:val="hybridMultilevel"/>
    <w:lvl w:ilvl="0">
      <w:numFmt w:val="bullet"/>
      <w:lvlText w:val=""/>
      <w:start w:val="0"/>
      <w:lvlJc w:val="left"/>
      <w:pPr>
        <w:ind w:left="765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85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205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925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45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65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85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805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525"/>
        <w:ind w:hanging="360"/>
      </w:pPr>
      <w:rPr>
        <w:rFonts w:ascii="Wingdings" w:hAnsi="Wingdings"/>
      </w:rPr>
    </w:lvl>
  </w:abstractNum>
  <w:abstractNum w:abstractNumId="1005473235">
    <w:multiLevelType w:val="hybridMultilevel"/>
    <w:lvl w:ilvl="0">
      <w:numFmt w:val="bullet"/>
      <w:lvlText w:val=""/>
      <w:start w:val="0"/>
      <w:lvlJc w:val="left"/>
      <w:pPr>
        <w:ind w:left="360"/>
        <w:ind w:hanging="360"/>
      </w:pPr>
      <w:rPr>
        <w:color w:val="7030A0"/>
        <w:rFonts w:ascii="Wingdings" w:hAnsi="Wingdings"/>
      </w:rPr>
    </w:lvl>
    <w:lvl w:ilvl="1">
      <w:numFmt w:val="bullet"/>
      <w:lvlText w:val="o"/>
      <w:start w:val="0"/>
      <w:lvlJc w:val="left"/>
      <w:pPr>
        <w:ind w:left="180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52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324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96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68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40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612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840"/>
        <w:ind w:hanging="360"/>
      </w:pPr>
      <w:rPr>
        <w:rFonts w:ascii="Wingdings" w:hAnsi="Wingdings"/>
      </w:rPr>
    </w:lvl>
  </w:abstractNum>
  <w:abstractNum w:abstractNumId="1079136822">
    <w:multiLevelType w:val="hybridMultilevel"/>
    <w:lvl w:ilvl="0">
      <w:numFmt w:val="bullet"/>
      <w:lvlText w:val=""/>
      <w:start w:val="0"/>
      <w:lvlJc w:val="left"/>
      <w:pPr>
        <w:ind w:left="36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80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52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324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96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68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40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612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840"/>
        <w:ind w:hanging="360"/>
      </w:pPr>
      <w:rPr>
        <w:rFonts w:ascii="Wingdings" w:hAnsi="Wingdings"/>
      </w:rPr>
    </w:lvl>
  </w:abstractNum>
  <w:abstractNum w:abstractNumId="1149906865">
    <w:multiLevelType w:val="hybridMultilevel"/>
    <w:lvl w:ilvl="0">
      <w:numFmt w:val="bullet"/>
      <w:lvlText w:val=""/>
      <w:start w:val="0"/>
      <w:lvlJc w:val="left"/>
      <w:pPr>
        <w:ind w:left="360"/>
        <w:ind w:hanging="360"/>
      </w:pPr>
      <w:rPr>
        <w:color w:val="7030A0"/>
        <w:rFonts w:ascii="Wingdings" w:hAnsi="Wingdings"/>
      </w:rPr>
    </w:lvl>
    <w:lvl w:ilvl="1">
      <w:numFmt w:val="bullet"/>
      <w:lvlText w:val="o"/>
      <w:start w:val="0"/>
      <w:lvlJc w:val="left"/>
      <w:pPr>
        <w:ind w:left="180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52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324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96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68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40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612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840"/>
        <w:ind w:hanging="360"/>
      </w:pPr>
      <w:rPr>
        <w:rFonts w:ascii="Wingdings" w:hAnsi="Wingdings"/>
      </w:rPr>
    </w:lvl>
  </w:abstractNum>
  <w:abstractNum w:abstractNumId="1626350218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1657106137">
    <w:multiLevelType w:val="hybridMultilevel"/>
    <w:lvl w:ilvl="0">
      <w:numFmt w:val="bullet"/>
      <w:lvlText w:val=""/>
      <w:start w:val="0"/>
      <w:lvlJc w:val="left"/>
      <w:pPr>
        <w:ind w:left="180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252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324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396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468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540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612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684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7560"/>
        <w:ind w:hanging="360"/>
      </w:pPr>
      <w:rPr>
        <w:rFonts w:ascii="Wingdings" w:hAnsi="Wingdings"/>
      </w:rPr>
    </w:lvl>
  </w:abstractNum>
  <w:abstractNum w:abstractNumId="1946494346">
    <w:multiLevelType w:val="hybridMultilevel"/>
    <w:lvl w:ilvl="0">
      <w:numFmt w:val="bullet"/>
      <w:lvlText w:val=""/>
      <w:start w:val="0"/>
      <w:lvlJc w:val="left"/>
      <w:pPr>
        <w:ind w:left="360"/>
        <w:ind w:hanging="360"/>
      </w:pPr>
      <w:rPr>
        <w:color w:val="000000"/>
        <w:rFonts w:ascii="Wingdings" w:hAnsi="Wingdings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2085906126">
    <w:multiLevelType w:val="hybridMultilevel"/>
    <w:lvl w:ilvl="0">
      <w:numFmt w:val="bullet"/>
      <w:lvlText w:val=""/>
      <w:start w:val="0"/>
      <w:lvlJc w:val="left"/>
      <w:pPr>
        <w:ind w:left="360"/>
        <w:ind w:hanging="360"/>
      </w:pPr>
      <w:rPr>
        <w:color w:val="C0504D"/>
        <w:rFonts w:ascii="Wingdings" w:hAnsi="Wingdings"/>
      </w:rPr>
    </w:lvl>
    <w:lvl w:ilvl="1">
      <w:numFmt w:val="bullet"/>
      <w:lvlText w:val="o"/>
      <w:start w:val="0"/>
      <w:lvlJc w:val="left"/>
      <w:pPr>
        <w:ind w:left="108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180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52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24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396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468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40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120"/>
        <w:ind w:hanging="360"/>
      </w:pPr>
      <w:rPr>
        <w:rFonts w:ascii="Wingdings" w:hAnsi="Wingdings"/>
      </w:rPr>
    </w:lvl>
  </w:abstractNum>
  <w:abstractNum w:abstractNumId="10121982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6">
    <w:abstractNumId w:val="6"/>
  </w:num>
  <w:num w:numId="513812106">
    <w:abstractNumId w:val="513812106"/>
  </w:num>
  <w:num w:numId="575481644">
    <w:abstractNumId w:val="575481644"/>
  </w:num>
  <w:num w:numId="639771365">
    <w:abstractNumId w:val="639771365"/>
  </w:num>
  <w:num w:numId="661465217">
    <w:abstractNumId w:val="661465217"/>
  </w:num>
  <w:num w:numId="805968772">
    <w:abstractNumId w:val="805968772"/>
  </w:num>
  <w:num w:numId="1005473235">
    <w:abstractNumId w:val="1005473235"/>
  </w:num>
  <w:num w:numId="1079136822">
    <w:abstractNumId w:val="1079136822"/>
  </w:num>
  <w:num w:numId="1149906865">
    <w:abstractNumId w:val="1149906865"/>
  </w:num>
  <w:num w:numId="1626350218">
    <w:abstractNumId w:val="1626350218"/>
  </w:num>
  <w:num w:numId="1657106137">
    <w:abstractNumId w:val="1657106137"/>
  </w:num>
  <w:num w:numId="1946494346">
    <w:abstractNumId w:val="1946494346"/>
  </w:num>
  <w:num w:numId="2085906126">
    <w:abstractNumId w:val="2085906126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default="1" w:styleId="Normal">
    <w:name w:val="Normal"/>
    <w:qFormat/>
    <w:pPr/>
    <w:rPr>
      <w:rFonts w:ascii="Times New Roman" w:hAnsi="Times New Roman"/>
      <w:sz w:val="24"/>
      <w:szCs w:val="24"/>
    </w:rPr>
  </w:style>
  <w:style w:type="character" w:styleId="DefaultParagraphFont">
    <w:name w:val="Default Paragraph Font"/>
    <w:qFormat/>
  </w:style>
  <w:style w:type="table" w:styleId="TableNormal">
    <w:name w:val="Table Normal"/>
    <w:qFormat/>
    <w:pPr/>
  </w:style>
  <w:style w:type="numbering" w:styleId="NoList">
    <w:name w:val="No List"/>
    <w:qFormat/>
  </w:style>
  <w:style w:type="paragraph" w:styleId="ListParagraph">
    <w:name w:val="List Paragraph"/>
    <w:qFormat/>
    <w:basedOn w:val="Normal"/>
    <w:pPr>
      <w:ind w:left="720"/>
      <w:contextualSpacing/>
    </w:pPr>
  </w:style>
  <w:style w:type="paragraph" w:styleId="BalloonText">
    <w:name w:val="Balloon Text"/>
    <w:qFormat/>
    <w:basedOn w:val="Normal"/>
    <w:pPr/>
    <w:rPr>
      <w:rFonts w:ascii="Tahoma" w:hAnsi="Tahoma"/>
      <w:sz w:val="16"/>
      <w:szCs w:val="16"/>
    </w:rPr>
  </w:style>
  <w:style w:type="character" w:styleId="BalloonTextChar">
    <w:name w:val="Balloon Text Char"/>
    <w:qFormat/>
    <w:rPr>
      <w:rFonts w:ascii="Tahoma" w:hAnsi="Tahoma"/>
      <w:sz w:val="16"/>
      <w:szCs w:val="16"/>
    </w:rPr>
  </w:style>
  <w:style w:type="table" w:styleId="TableGrid">
    <w:name w:val="Table Grid"/>
    <w:qFormat/>
    <w:basedOn w:val="TableNormal"/>
    <w:pPr/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TableGrid"/>
      <w:tblLook w:val="1E0"/>
    </w:tblPr>
  </w:style>
  <w:style w:type="paragraph" w:styleId="Header">
    <w:name w:val="Header"/>
    <w:qFormat/>
    <w:basedOn w:val="Normal"/>
    <w:pPr/>
  </w:style>
  <w:style w:type="character" w:styleId="HeaderChar">
    <w:name w:val="Header Char"/>
    <w:qFormat/>
    <w:rPr>
      <w:rFonts w:ascii="Times New Roman" w:hAnsi="Times New Roman"/>
      <w:sz w:val="24"/>
      <w:szCs w:val="24"/>
    </w:rPr>
  </w:style>
  <w:style w:type="paragraph" w:styleId="Footer">
    <w:name w:val="Footer"/>
    <w:qFormat/>
    <w:basedOn w:val="Normal"/>
    <w:pPr/>
  </w:style>
  <w:style w:type="character" w:styleId="FooterChar">
    <w:name w:val="Footer Char"/>
    <w:qFormat/>
    <w:rPr>
      <w:rFonts w:ascii="Times New Roman" w:hAnsi="Times New Roman"/>
      <w:sz w:val="24"/>
      <w:szCs w:val="24"/>
    </w:rPr>
  </w:style>
  <w:style w:type="character" w:styleId="Hyperlink">
    <w:name w:val="Hyperlink"/>
    <w:qFormat/>
    <w:rPr>
      <w:u w:val="single"/>
      <w:color w:val="0000FF"/>
    </w:rPr>
  </w:style>
  <w:style w:type="paragraph" w:styleId="ColorfulList-Accent11">
    <w:name w:val="Colorful List - Accent 11"/>
    <w:qFormat/>
    <w:basedOn w:val="Normal"/>
    <w:pPr>
      <w:ind w:left="720"/>
      <w:contextualSpacing/>
    </w:pPr>
    <w:rPr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